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333AC3">
      <w:pP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  <w:t>附件1.招租铺面明细</w:t>
      </w:r>
    </w:p>
    <w:tbl>
      <w:tblPr>
        <w:tblStyle w:val="3"/>
        <w:tblW w:w="585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1611"/>
        <w:gridCol w:w="1517"/>
        <w:gridCol w:w="1083"/>
        <w:gridCol w:w="1117"/>
        <w:gridCol w:w="1400"/>
        <w:gridCol w:w="915"/>
        <w:gridCol w:w="1467"/>
        <w:gridCol w:w="762"/>
      </w:tblGrid>
      <w:tr w14:paraId="00644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90" w:hRule="atLeast"/>
          <w:jc w:val="center"/>
        </w:trPr>
        <w:tc>
          <w:tcPr>
            <w:tcW w:w="5000" w:type="pct"/>
            <w:gridSpan w:val="8"/>
            <w:shd w:val="clear" w:color="auto" w:fill="auto"/>
            <w:noWrap/>
            <w:vAlign w:val="center"/>
          </w:tcPr>
          <w:p w14:paraId="2BEEC5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招租人：绵阳新投实业有限责任公司</w:t>
            </w:r>
          </w:p>
        </w:tc>
      </w:tr>
      <w:tr w14:paraId="463DB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90" w:hRule="atLeast"/>
          <w:jc w:val="center"/>
        </w:trPr>
        <w:tc>
          <w:tcPr>
            <w:tcW w:w="5000" w:type="pct"/>
            <w:gridSpan w:val="8"/>
            <w:shd w:val="clear" w:color="auto" w:fill="auto"/>
            <w:vAlign w:val="center"/>
          </w:tcPr>
          <w:p w14:paraId="00E03A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招租联系人及联系方式：刘女士 18380601069</w:t>
            </w:r>
          </w:p>
        </w:tc>
      </w:tr>
      <w:tr w14:paraId="7EC76C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90" w:hRule="atLeast"/>
          <w:jc w:val="center"/>
        </w:trPr>
        <w:tc>
          <w:tcPr>
            <w:tcW w:w="815" w:type="pct"/>
            <w:shd w:val="clear" w:color="auto" w:fill="auto"/>
            <w:vAlign w:val="center"/>
          </w:tcPr>
          <w:p w14:paraId="50C23A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铺面名称</w:t>
            </w:r>
          </w:p>
        </w:tc>
        <w:tc>
          <w:tcPr>
            <w:tcW w:w="768" w:type="pct"/>
            <w:shd w:val="clear" w:color="auto" w:fill="auto"/>
            <w:vAlign w:val="center"/>
          </w:tcPr>
          <w:p w14:paraId="48E03C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铺面位置</w:t>
            </w:r>
          </w:p>
        </w:tc>
        <w:tc>
          <w:tcPr>
            <w:tcW w:w="548" w:type="pct"/>
            <w:shd w:val="clear" w:color="auto" w:fill="auto"/>
            <w:vAlign w:val="center"/>
          </w:tcPr>
          <w:p w14:paraId="63C61D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拟招租经营项目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376448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建筑面积(平方米)</w:t>
            </w:r>
          </w:p>
        </w:tc>
        <w:tc>
          <w:tcPr>
            <w:tcW w:w="709" w:type="pct"/>
            <w:shd w:val="clear" w:color="auto" w:fill="auto"/>
            <w:vAlign w:val="center"/>
          </w:tcPr>
          <w:p w14:paraId="0E90EE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招租底价(元/平方米/月)</w:t>
            </w:r>
          </w:p>
        </w:tc>
        <w:tc>
          <w:tcPr>
            <w:tcW w:w="463" w:type="pct"/>
            <w:shd w:val="clear" w:color="auto" w:fill="auto"/>
            <w:vAlign w:val="center"/>
          </w:tcPr>
          <w:p w14:paraId="086BD8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租赁期限（年）</w:t>
            </w:r>
          </w:p>
        </w:tc>
        <w:tc>
          <w:tcPr>
            <w:tcW w:w="743" w:type="pct"/>
            <w:shd w:val="clear" w:color="auto" w:fill="auto"/>
            <w:noWrap/>
            <w:vAlign w:val="center"/>
          </w:tcPr>
          <w:p w14:paraId="4263AC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履约保证金</w:t>
            </w:r>
          </w:p>
        </w:tc>
        <w:tc>
          <w:tcPr>
            <w:tcW w:w="385" w:type="pct"/>
            <w:shd w:val="clear" w:color="auto" w:fill="auto"/>
            <w:vAlign w:val="center"/>
          </w:tcPr>
          <w:p w14:paraId="25AEDA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交易方式</w:t>
            </w:r>
          </w:p>
        </w:tc>
      </w:tr>
      <w:tr w14:paraId="70E37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90" w:hRule="atLeast"/>
          <w:jc w:val="center"/>
        </w:trPr>
        <w:tc>
          <w:tcPr>
            <w:tcW w:w="815" w:type="pct"/>
            <w:shd w:val="clear" w:color="auto" w:fill="auto"/>
            <w:vAlign w:val="center"/>
          </w:tcPr>
          <w:p w14:paraId="17A8E6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上马望蜀邻里中心—上马+youngpark项目111B号铺面</w:t>
            </w:r>
          </w:p>
        </w:tc>
        <w:tc>
          <w:tcPr>
            <w:tcW w:w="768" w:type="pct"/>
            <w:shd w:val="clear" w:color="auto" w:fill="auto"/>
            <w:vAlign w:val="center"/>
          </w:tcPr>
          <w:p w14:paraId="6A3A07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科技城新区（直管区）财元路16号1栋1层附2-1号</w:t>
            </w:r>
          </w:p>
        </w:tc>
        <w:tc>
          <w:tcPr>
            <w:tcW w:w="548" w:type="pct"/>
            <w:shd w:val="clear" w:color="auto" w:fill="auto"/>
            <w:noWrap/>
            <w:vAlign w:val="center"/>
          </w:tcPr>
          <w:p w14:paraId="1B0436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潮流活力</w:t>
            </w: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5D8DBF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75.22</w:t>
            </w:r>
          </w:p>
        </w:tc>
        <w:tc>
          <w:tcPr>
            <w:tcW w:w="709" w:type="pct"/>
            <w:shd w:val="clear" w:color="auto" w:fill="auto"/>
            <w:noWrap/>
            <w:vAlign w:val="center"/>
          </w:tcPr>
          <w:p w14:paraId="1E9BE0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463" w:type="pct"/>
            <w:shd w:val="clear" w:color="auto" w:fill="auto"/>
            <w:noWrap/>
            <w:vAlign w:val="center"/>
          </w:tcPr>
          <w:p w14:paraId="57F6EF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3-10年</w:t>
            </w:r>
          </w:p>
        </w:tc>
        <w:tc>
          <w:tcPr>
            <w:tcW w:w="743" w:type="pct"/>
            <w:shd w:val="clear" w:color="auto" w:fill="auto"/>
            <w:noWrap/>
            <w:vAlign w:val="center"/>
          </w:tcPr>
          <w:p w14:paraId="106881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等同于第一期租金的金额。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14:paraId="56A3BB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转账</w:t>
            </w:r>
          </w:p>
        </w:tc>
      </w:tr>
      <w:tr w14:paraId="5C7A3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90" w:hRule="atLeast"/>
          <w:jc w:val="center"/>
        </w:trPr>
        <w:tc>
          <w:tcPr>
            <w:tcW w:w="815" w:type="pct"/>
            <w:shd w:val="clear" w:color="auto" w:fill="auto"/>
            <w:vAlign w:val="center"/>
          </w:tcPr>
          <w:p w14:paraId="07A3A1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上马望蜀邻里中心—上马+youngpark项目112号铺面</w:t>
            </w:r>
          </w:p>
        </w:tc>
        <w:tc>
          <w:tcPr>
            <w:tcW w:w="768" w:type="pct"/>
            <w:shd w:val="clear" w:color="auto" w:fill="auto"/>
            <w:vAlign w:val="center"/>
          </w:tcPr>
          <w:p w14:paraId="24D509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科技城新区（直管区）财元路16号1栋1层附1-1号</w:t>
            </w:r>
          </w:p>
        </w:tc>
        <w:tc>
          <w:tcPr>
            <w:tcW w:w="548" w:type="pct"/>
            <w:shd w:val="clear" w:color="auto" w:fill="auto"/>
            <w:noWrap/>
            <w:vAlign w:val="center"/>
          </w:tcPr>
          <w:p w14:paraId="52E95D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潮流活力</w:t>
            </w: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28E318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279.39</w:t>
            </w:r>
          </w:p>
        </w:tc>
        <w:tc>
          <w:tcPr>
            <w:tcW w:w="709" w:type="pct"/>
            <w:shd w:val="clear" w:color="auto" w:fill="auto"/>
            <w:noWrap/>
            <w:vAlign w:val="center"/>
          </w:tcPr>
          <w:p w14:paraId="127E81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463" w:type="pct"/>
            <w:shd w:val="clear" w:color="auto" w:fill="auto"/>
            <w:noWrap/>
            <w:vAlign w:val="center"/>
          </w:tcPr>
          <w:p w14:paraId="09DDA9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3-10年</w:t>
            </w:r>
          </w:p>
        </w:tc>
        <w:tc>
          <w:tcPr>
            <w:tcW w:w="743" w:type="pct"/>
            <w:shd w:val="clear" w:color="auto" w:fill="auto"/>
            <w:noWrap/>
            <w:vAlign w:val="center"/>
          </w:tcPr>
          <w:p w14:paraId="4036AD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等同于第一期租金的金额。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14:paraId="38D3DD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转账</w:t>
            </w:r>
          </w:p>
        </w:tc>
      </w:tr>
      <w:tr w14:paraId="26E49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90" w:hRule="atLeast"/>
          <w:jc w:val="center"/>
        </w:trPr>
        <w:tc>
          <w:tcPr>
            <w:tcW w:w="815" w:type="pct"/>
            <w:shd w:val="clear" w:color="auto" w:fill="auto"/>
            <w:vAlign w:val="center"/>
          </w:tcPr>
          <w:p w14:paraId="5539C2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上马望蜀邻里中心—上马+youngpark项目211A号铺面</w:t>
            </w:r>
          </w:p>
        </w:tc>
        <w:tc>
          <w:tcPr>
            <w:tcW w:w="768" w:type="pct"/>
            <w:shd w:val="clear" w:color="auto" w:fill="auto"/>
            <w:vAlign w:val="center"/>
          </w:tcPr>
          <w:p w14:paraId="066C49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科技城新区（直管区）财元路14号2栋1层附4号</w:t>
            </w:r>
          </w:p>
        </w:tc>
        <w:tc>
          <w:tcPr>
            <w:tcW w:w="548" w:type="pct"/>
            <w:shd w:val="clear" w:color="auto" w:fill="auto"/>
            <w:noWrap/>
            <w:vAlign w:val="center"/>
          </w:tcPr>
          <w:p w14:paraId="511EA3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茶食咖饮</w:t>
            </w: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424D5F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94.48</w:t>
            </w:r>
          </w:p>
        </w:tc>
        <w:tc>
          <w:tcPr>
            <w:tcW w:w="709" w:type="pct"/>
            <w:shd w:val="clear" w:color="auto" w:fill="auto"/>
            <w:noWrap/>
            <w:vAlign w:val="center"/>
          </w:tcPr>
          <w:p w14:paraId="23BA61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463" w:type="pct"/>
            <w:shd w:val="clear" w:color="auto" w:fill="auto"/>
            <w:noWrap/>
            <w:vAlign w:val="center"/>
          </w:tcPr>
          <w:p w14:paraId="462F9B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3-10年</w:t>
            </w:r>
          </w:p>
        </w:tc>
        <w:tc>
          <w:tcPr>
            <w:tcW w:w="743" w:type="pct"/>
            <w:shd w:val="clear" w:color="auto" w:fill="auto"/>
            <w:noWrap/>
            <w:vAlign w:val="center"/>
          </w:tcPr>
          <w:p w14:paraId="78443C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等同于第一期租金的金额。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14:paraId="683651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转账</w:t>
            </w:r>
          </w:p>
        </w:tc>
      </w:tr>
      <w:tr w14:paraId="59E02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90" w:hRule="atLeast"/>
          <w:jc w:val="center"/>
        </w:trPr>
        <w:tc>
          <w:tcPr>
            <w:tcW w:w="815" w:type="pct"/>
            <w:shd w:val="clear" w:color="auto" w:fill="auto"/>
            <w:vAlign w:val="center"/>
          </w:tcPr>
          <w:p w14:paraId="7A94A5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上马望蜀邻里中心—上马+youngpark项目213B号铺面</w:t>
            </w:r>
          </w:p>
        </w:tc>
        <w:tc>
          <w:tcPr>
            <w:tcW w:w="768" w:type="pct"/>
            <w:shd w:val="clear" w:color="auto" w:fill="auto"/>
            <w:vAlign w:val="center"/>
          </w:tcPr>
          <w:p w14:paraId="3E31CB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科技城新区（直管区）财元路14号2栋1层附2-1号</w:t>
            </w:r>
          </w:p>
        </w:tc>
        <w:tc>
          <w:tcPr>
            <w:tcW w:w="548" w:type="pct"/>
            <w:shd w:val="clear" w:color="auto" w:fill="auto"/>
            <w:noWrap/>
            <w:vAlign w:val="center"/>
          </w:tcPr>
          <w:p w14:paraId="3C921A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休闲娱乐</w:t>
            </w: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4F5BA7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709" w:type="pct"/>
            <w:shd w:val="clear" w:color="auto" w:fill="auto"/>
            <w:noWrap/>
            <w:vAlign w:val="center"/>
          </w:tcPr>
          <w:p w14:paraId="5BE781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463" w:type="pct"/>
            <w:shd w:val="clear" w:color="auto" w:fill="auto"/>
            <w:noWrap/>
            <w:vAlign w:val="center"/>
          </w:tcPr>
          <w:p w14:paraId="580F1C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3-10年</w:t>
            </w:r>
          </w:p>
        </w:tc>
        <w:tc>
          <w:tcPr>
            <w:tcW w:w="743" w:type="pct"/>
            <w:shd w:val="clear" w:color="auto" w:fill="auto"/>
            <w:noWrap/>
            <w:vAlign w:val="center"/>
          </w:tcPr>
          <w:p w14:paraId="41B7E0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等同于第一期租金的金额。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14:paraId="6C4D5F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转账</w:t>
            </w:r>
          </w:p>
        </w:tc>
      </w:tr>
      <w:tr w14:paraId="3BC97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312" w:hRule="atLeast"/>
          <w:jc w:val="center"/>
        </w:trPr>
        <w:tc>
          <w:tcPr>
            <w:tcW w:w="5000" w:type="pct"/>
            <w:gridSpan w:val="8"/>
            <w:shd w:val="clear" w:color="auto" w:fill="auto"/>
            <w:vAlign w:val="center"/>
          </w:tcPr>
          <w:p w14:paraId="772F23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备注：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一、租金递增规则：1.租赁五年（含）以内的商铺，租金单价从第四年起在上一年度租金单价的基础上逐年上涨5%。 2.租赁五年以上的商铺，租金单价每三年递增3%。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、租赁期限：一般租赁期限原则上不超过5年；用于商超、酒店、办学、办公、高档餐饮方面的大宗房产等特殊情形，承租方需要投入大额资金装修改造的等特殊情况可以适当延长，原则上不超过10年，到期后重新公开竞争招租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三、租金缴纳周期：季付/半年付/年付。</w:t>
            </w:r>
          </w:p>
          <w:p w14:paraId="5B4D4E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center"/>
              <w:rPr>
                <w:rFonts w:hint="eastAsia" w:ascii="仿宋_GB2312" w:hAnsi="仿宋_GB2312" w:eastAsia="仿宋_GB2312" w:cs="仿宋_GB2312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四、本项目装修期为1-3个月，养商期为1-6个月，每个铺面装修期期限视租赁面积评定，养商期视店铺面积、位置、品牌综合评定。</w:t>
            </w:r>
          </w:p>
        </w:tc>
      </w:tr>
    </w:tbl>
    <w:p w14:paraId="3126CC4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B8379C"/>
    <w:rsid w:val="1B280FDA"/>
    <w:rsid w:val="1BF82D2C"/>
    <w:rsid w:val="32226D1C"/>
    <w:rsid w:val="40302C93"/>
    <w:rsid w:val="74FA2780"/>
    <w:rsid w:val="75B83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160" w:line="278" w:lineRule="auto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595</Words>
  <Characters>702</Characters>
  <Lines>0</Lines>
  <Paragraphs>0</Paragraphs>
  <TotalTime>1</TotalTime>
  <ScaleCrop>false</ScaleCrop>
  <LinksUpToDate>false</LinksUpToDate>
  <CharactersWithSpaces>704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2026-07-15T06:25:00Z</dcterms:created>
  <dc:creator>Administrator</dc:creator>
  <cp:lastModifiedBy>Administrator</cp:lastModifiedBy>
  <cp:lastPrinted>2026-10-19T03:40:00Z</cp:lastPrinted>
  <dcterms:modified xsi:type="dcterms:W3CDTF">2026-10-20T04:28:49Z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2966B5BE02154F0FB27336F7840F3115_13</vt:lpwstr>
  </property>
  <property fmtid="{D5CDD505-2E9C-101B-9397-08002B2CF9AE}" pid="4" name="KSOTemplateDocerSaveRecord">
    <vt:lpwstr>eyJoZGlkIjoiMjgzMjU3YjJkMWM3ZTFiOTQ3MWIyNmU2OGExZDdkMmEiLCJ1c2VySWQiOiIxMDAzODA2NDIyIn0=</vt:lpwstr>
  </property>
</Properties>
</file>